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7" w:rsidRPr="00655E47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bookmarkStart w:id="0" w:name="_GoBack"/>
      <w:r w:rsidRPr="00655E4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Аннотации рабочих программ дисциплин</w:t>
      </w:r>
    </w:p>
    <w:bookmarkEnd w:id="0"/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>ДИСЦИПЛИНА «ПОЖАРНАЯ ТЕХНИКА»</w:t>
      </w:r>
    </w:p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numPr>
          <w:ilvl w:val="0"/>
          <w:numId w:val="7"/>
        </w:numPr>
        <w:jc w:val="center"/>
        <w:rPr>
          <w:sz w:val="28"/>
          <w:szCs w:val="28"/>
        </w:rPr>
      </w:pPr>
      <w:r w:rsidRPr="00D0027E">
        <w:rPr>
          <w:b/>
          <w:sz w:val="28"/>
          <w:szCs w:val="28"/>
        </w:rPr>
        <w:t>Цели и задачи освоения дисциплины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«Пожарная техника» является повышение уровня профессиональной подготовки водителей подразделений ГПС МЧС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путем приобретения основ позволяющих эффективно использовать пожарную технику, оборудование, технику связи при тушении пожаров, безопасно управлять транспортным средством в различных условиях эксплуатации, а также накопление необходимых базовых знаний для правильного понимания теоретических основ движения автомобиля, физических законов при использовании пожарной техники.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данных целей предусматривается решение следующих основных задач:</w:t>
      </w:r>
    </w:p>
    <w:p w:rsidR="00655E47" w:rsidRPr="00D0027E" w:rsidRDefault="00655E47" w:rsidP="00655E4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приобретение знаний в области основ нормативно-технической документации на пожарную технику и оборудование; требованиям, предъявляемым к техническому состоянию пожарной техники, оборудованию, снаряжению (экипировке);</w:t>
      </w:r>
    </w:p>
    <w:p w:rsidR="00655E47" w:rsidRPr="00D0027E" w:rsidRDefault="00655E47" w:rsidP="00655E4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основ конструкции пожарных и аварийно-спасательных автомобилей (вопросы, связанные с устройством пожарных и аварийно- спасательных автомобилей, их специальных агрегатов, принципов безопасной эксплуатации и проведения технического обслуживания и ремонта);</w:t>
      </w:r>
    </w:p>
    <w:p w:rsidR="00655E47" w:rsidRDefault="00655E47" w:rsidP="00655E4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овладение практическими навыками работы на специальных агрегатах пожарных и аварийно-спасательных автомобилей.</w:t>
      </w:r>
    </w:p>
    <w:p w:rsidR="00655E47" w:rsidRPr="00D0027E" w:rsidRDefault="00655E47" w:rsidP="00655E4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Перечень планируемых результатов обучения по дисциплине</w:t>
      </w: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 (ОК-1)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работать на специальных агрегатах пожарных автоцистерн и насосно-рукавных автомобилей (ПК-2);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проверять при смене дежурств закрепленную пожарную и аварийно-спасательную технику (ПК-3);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содержать закрепленную пожарную технику в состоянии постоянной готовности к действиям по тушению пожаров (ПК-4).</w:t>
      </w:r>
    </w:p>
    <w:p w:rsidR="00655E47" w:rsidRDefault="00655E47" w:rsidP="00655E47">
      <w:pPr>
        <w:pStyle w:val="a3"/>
        <w:widowControl w:val="0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Содержание дисциплины</w:t>
      </w: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2"/>
        <w:gridCol w:w="575"/>
        <w:gridCol w:w="685"/>
        <w:gridCol w:w="534"/>
        <w:gridCol w:w="670"/>
        <w:gridCol w:w="854"/>
        <w:gridCol w:w="903"/>
      </w:tblGrid>
      <w:tr w:rsidR="00655E47" w:rsidRPr="00D0027E" w:rsidTr="00714DD9">
        <w:trPr>
          <w:cantSplit/>
          <w:trHeight w:val="329"/>
        </w:trPr>
        <w:tc>
          <w:tcPr>
            <w:tcW w:w="285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7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85110499"/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  <w:bookmarkEnd w:id="1"/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pct"/>
            <w:gridSpan w:val="6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Трудоёмкость освоения раздела, темы программы</w:t>
            </w:r>
          </w:p>
        </w:tc>
      </w:tr>
      <w:tr w:rsidR="00655E47" w:rsidRPr="00D0027E" w:rsidTr="00714DD9">
        <w:trPr>
          <w:cantSplit/>
          <w:trHeight w:val="195"/>
        </w:trPr>
        <w:tc>
          <w:tcPr>
            <w:tcW w:w="285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932" w:type="pct"/>
            <w:gridSpan w:val="5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часов</w:t>
            </w:r>
          </w:p>
        </w:tc>
      </w:tr>
      <w:tr w:rsidR="00655E47" w:rsidRPr="00D0027E" w:rsidTr="00714DD9">
        <w:trPr>
          <w:cantSplit/>
          <w:trHeight w:val="2503"/>
        </w:trPr>
        <w:tc>
          <w:tcPr>
            <w:tcW w:w="285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355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5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Контрольные работы,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479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</w:t>
            </w:r>
          </w:p>
        </w:tc>
      </w:tr>
      <w:tr w:rsidR="00655E47" w:rsidRPr="00D0027E" w:rsidTr="00714DD9">
        <w:trPr>
          <w:cantSplit/>
          <w:trHeight w:val="403"/>
        </w:trPr>
        <w:tc>
          <w:tcPr>
            <w:tcW w:w="5000" w:type="pct"/>
            <w:gridSpan w:val="8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Пожарный инструмент и оборудование</w:t>
            </w: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Пожарные стволы, рукава и рукавное оборудование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Приборы и аппараты пенного тушения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Первичные средства и стационарные установки пожаротушения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Пожарный и аварийно-спасательный инструмент. Спасательные средства.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Противопожарное водоснабжение и арматура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Размещение пожарного инструмента и оборудования на пожарном автомобиле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762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E47" w:rsidRPr="00D0027E" w:rsidTr="00714DD9">
        <w:trPr>
          <w:cantSplit/>
          <w:trHeight w:val="403"/>
        </w:trPr>
        <w:tc>
          <w:tcPr>
            <w:tcW w:w="5000" w:type="pct"/>
            <w:gridSpan w:val="8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Раздел 2. Пожарные автомобили</w:t>
            </w: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Пожарные автомобили. Классификация, типы и обозначения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Основные пожарные автомобили общего применения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Основные пожарные автомобили целевого применения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Общие сведения о специальных пожарных автомобилях</w:t>
            </w:r>
          </w:p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Дополнительная трансмиссия специальных агрегатов пожарных и аварийно-спасательных автомобилей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управления. Контрольно-измерительные приборы пожарных и аварийно-спасательных автомобилей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Емкости для огнетушащих веществ пожарных и аварийно-спасательных автомобилей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Двигатели привода пожарного насоса ПНС. Системы дополнительного охлаждения и обогрева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Дополнительное электрооборудование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Кузов пожарной автоцистерны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Диагностирование пожарных автомобилей и их специальных агрегатов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пожарных автомобилей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Техническая и эксплуатационная документация пожарного автомобиля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Нормы расхода горюче-смазочных материалов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Организация связи пожарной охраны. Радиосвязь пожарной охраны. Переговорные устройства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762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5000" w:type="pct"/>
            <w:gridSpan w:val="8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Пожарные насосы</w:t>
            </w: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Насосно-рукавные системы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Общие сведения о насосах.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Вакуумные системы пожарных АЦ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Центробежные пожарные насосы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5" w:type="pct"/>
            <w:vAlign w:val="center"/>
          </w:tcPr>
          <w:p w:rsidR="00655E47" w:rsidRPr="00D0027E" w:rsidRDefault="00655E47" w:rsidP="00655E4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655E47" w:rsidRPr="00D0027E" w:rsidRDefault="00655E47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Работа на специальных агрегатах пожарных автомобилей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762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762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дисциплине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E47" w:rsidRPr="00D0027E" w:rsidTr="00714DD9">
        <w:trPr>
          <w:trHeight w:val="181"/>
        </w:trPr>
        <w:tc>
          <w:tcPr>
            <w:tcW w:w="2762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3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73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55E47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>ДИСЦИПЛИНА «ПОЖАРНАЯ ТАКТИКА»</w:t>
      </w:r>
    </w:p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D0027E">
        <w:rPr>
          <w:b/>
          <w:sz w:val="28"/>
          <w:szCs w:val="28"/>
        </w:rPr>
        <w:t>Цели и задачи освоения дисциплины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 «Пожарная тактика» является подготовка слушателей к ведению боевых действий в составе отделения и караула по тушению пожаров и проведению аварийно-спасательных работ, связанных с тушением пожаров.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55E47" w:rsidRPr="00D0027E" w:rsidRDefault="00655E47" w:rsidP="00655E47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закономерности элементов обстановки на пожаре;</w:t>
      </w:r>
    </w:p>
    <w:p w:rsidR="00655E47" w:rsidRPr="00D0027E" w:rsidRDefault="00655E47" w:rsidP="00655E47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прогнозировать возможную обстановку на пожаре;</w:t>
      </w:r>
    </w:p>
    <w:p w:rsidR="00655E47" w:rsidRPr="00D0027E" w:rsidRDefault="00655E47" w:rsidP="00655E47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познать сущность боевых действий подразделений пожарной охраны в разработке эффективных способов и приемов спасания людей на пожарах;</w:t>
      </w:r>
    </w:p>
    <w:p w:rsidR="00655E47" w:rsidRPr="00D0027E" w:rsidRDefault="00655E47" w:rsidP="00655E47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выявлять и обосновывать наиболее целесообразные формы и методы организации тушения пожаров;</w:t>
      </w:r>
    </w:p>
    <w:p w:rsidR="00655E47" w:rsidRPr="00D0027E" w:rsidRDefault="00655E47" w:rsidP="00655E47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управлять силами и средствами на пожаре, взаимодействовать со службами жизнеобеспечения города (объекта).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Перечень планируемых результатов обучения по дисциплине</w:t>
      </w: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r w:rsidRPr="00D0027E">
        <w:rPr>
          <w:snapToGrid w:val="0"/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  <w:r w:rsidRPr="00D0027E">
        <w:rPr>
          <w:spacing w:val="-8"/>
          <w:sz w:val="28"/>
          <w:szCs w:val="28"/>
        </w:rPr>
        <w:t xml:space="preserve"> (ОК-1);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r w:rsidRPr="00D0027E">
        <w:rPr>
          <w:snapToGrid w:val="0"/>
          <w:sz w:val="28"/>
          <w:szCs w:val="28"/>
        </w:rPr>
        <w:t>выполнять боевые действия по тушению пожаров и проведению аварийно-спасательных работ</w:t>
      </w:r>
      <w:r w:rsidRPr="00D0027E">
        <w:rPr>
          <w:spacing w:val="-8"/>
          <w:sz w:val="28"/>
          <w:szCs w:val="28"/>
        </w:rPr>
        <w:t xml:space="preserve"> (ПК-7).</w:t>
      </w:r>
    </w:p>
    <w:p w:rsidR="00655E47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lastRenderedPageBreak/>
        <w:t>Содержание дисциплины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896"/>
        <w:gridCol w:w="534"/>
        <w:gridCol w:w="536"/>
        <w:gridCol w:w="887"/>
        <w:gridCol w:w="911"/>
        <w:gridCol w:w="1162"/>
        <w:gridCol w:w="917"/>
      </w:tblGrid>
      <w:tr w:rsidR="00655E47" w:rsidRPr="00D0027E" w:rsidTr="00714DD9">
        <w:trPr>
          <w:cantSplit/>
          <w:trHeight w:val="329"/>
        </w:trPr>
        <w:tc>
          <w:tcPr>
            <w:tcW w:w="283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8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gridSpan w:val="6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Трудоёмкость освоения раздела, темы программы</w:t>
            </w:r>
          </w:p>
        </w:tc>
      </w:tr>
      <w:tr w:rsidR="00655E47" w:rsidRPr="00D0027E" w:rsidTr="00714DD9">
        <w:trPr>
          <w:cantSplit/>
          <w:trHeight w:val="195"/>
        </w:trPr>
        <w:tc>
          <w:tcPr>
            <w:tcW w:w="283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354" w:type="pct"/>
            <w:gridSpan w:val="5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часов</w:t>
            </w:r>
          </w:p>
        </w:tc>
      </w:tr>
      <w:tr w:rsidR="00655E47" w:rsidRPr="00D0027E" w:rsidTr="00714DD9">
        <w:trPr>
          <w:cantSplit/>
          <w:trHeight w:val="2358"/>
        </w:trPr>
        <w:tc>
          <w:tcPr>
            <w:tcW w:w="283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486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620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490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55E47" w:rsidRPr="00D0027E" w:rsidTr="00714DD9">
        <w:trPr>
          <w:trHeight w:val="181"/>
        </w:trPr>
        <w:tc>
          <w:tcPr>
            <w:tcW w:w="283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 и его развитие. Прекращение горения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3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Тактические возможности пожарно-спасательных подразделений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3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Этапы боевых действий по тушению пожаров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3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Основы управления силами и средствами на пожаре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83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Тушение пожаров в жилых и общественных зданиях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361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дисциплине </w:t>
            </w:r>
          </w:p>
        </w:tc>
        <w:tc>
          <w:tcPr>
            <w:tcW w:w="28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E47" w:rsidRPr="00D0027E" w:rsidTr="00714DD9">
        <w:trPr>
          <w:trHeight w:val="181"/>
        </w:trPr>
        <w:tc>
          <w:tcPr>
            <w:tcW w:w="2361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285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655E47" w:rsidRPr="009135F2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55E47" w:rsidRDefault="00655E47"/>
    <w:p w:rsidR="00655E47" w:rsidRDefault="00655E47" w:rsidP="00655E4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ДИСЦИПЛИНА «ОРГАНИЗАЦИЯ ДЕЯТЕЛЬНОСТИ </w:t>
      </w:r>
    </w:p>
    <w:p w:rsidR="00655E47" w:rsidRPr="00D0027E" w:rsidRDefault="00655E47" w:rsidP="00655E4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>ПОЖАРНОЙ ОХРАНЫ»</w:t>
      </w:r>
    </w:p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>1. Цели и задачи освоения дисциплины</w:t>
      </w:r>
    </w:p>
    <w:p w:rsidR="00655E47" w:rsidRPr="00D0027E" w:rsidRDefault="00655E47" w:rsidP="00655E47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 «Организация деятельности пожарной охраны» является формирование компетенций, необходимых для выполнения трудовых функций по профессии.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задач: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приобретение теоретических знаний: о видах пожарной охраны в Российской Федерации; 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организации гарнизонной и караульной служб; 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обязанностям водителя при несении караульной службы на постах, в дозорах и во внутреннем наряде; 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о порядке организации профессиональной подготовки личного состава;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приобретение практических умений по выполнению служебных обязанностей при несении караульной службы;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формирование представления: о порядке и условиях </w:t>
      </w:r>
      <w:r w:rsidRPr="00D0027E">
        <w:rPr>
          <w:sz w:val="28"/>
          <w:szCs w:val="28"/>
        </w:rPr>
        <w:lastRenderedPageBreak/>
        <w:t>прохождения службы в подразделениях ГПС.</w:t>
      </w:r>
    </w:p>
    <w:p w:rsidR="00655E47" w:rsidRPr="00D0027E" w:rsidRDefault="00655E47" w:rsidP="00655E47">
      <w:pPr>
        <w:pStyle w:val="a3"/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0" w:firstLine="708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2. Перечень планируемых результатов обучения по дисциплине</w:t>
      </w: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55E47" w:rsidRPr="00D0027E" w:rsidRDefault="00655E47" w:rsidP="00655E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нести службу в пожарно-спасательных подразделениях в рамках функциональных обязанностей (ПК-1).</w:t>
      </w: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1069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3. Содержание дисциплины</w:t>
      </w:r>
    </w:p>
    <w:tbl>
      <w:tblPr>
        <w:tblW w:w="47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898"/>
        <w:gridCol w:w="533"/>
        <w:gridCol w:w="535"/>
        <w:gridCol w:w="885"/>
        <w:gridCol w:w="911"/>
        <w:gridCol w:w="913"/>
        <w:gridCol w:w="922"/>
      </w:tblGrid>
      <w:tr w:rsidR="00655E47" w:rsidRPr="00D0027E" w:rsidTr="00714DD9">
        <w:trPr>
          <w:cantSplit/>
          <w:trHeight w:val="329"/>
        </w:trPr>
        <w:tc>
          <w:tcPr>
            <w:tcW w:w="290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5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  <w:gridSpan w:val="6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Трудоёмкость освоения раздела, темы программы</w:t>
            </w:r>
          </w:p>
        </w:tc>
      </w:tr>
      <w:tr w:rsidR="00655E47" w:rsidRPr="00D0027E" w:rsidTr="00714DD9">
        <w:trPr>
          <w:cantSplit/>
          <w:trHeight w:val="195"/>
        </w:trPr>
        <w:tc>
          <w:tcPr>
            <w:tcW w:w="290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283" w:type="pct"/>
            <w:gridSpan w:val="5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часов</w:t>
            </w:r>
          </w:p>
        </w:tc>
      </w:tr>
      <w:tr w:rsidR="00655E47" w:rsidRPr="00D0027E" w:rsidTr="00714DD9">
        <w:trPr>
          <w:cantSplit/>
          <w:trHeight w:val="2503"/>
        </w:trPr>
        <w:tc>
          <w:tcPr>
            <w:tcW w:w="290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499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500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505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55E47" w:rsidRPr="00D0027E" w:rsidTr="00714DD9">
        <w:trPr>
          <w:trHeight w:val="181"/>
        </w:trPr>
        <w:tc>
          <w:tcPr>
            <w:tcW w:w="290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</w:tcPr>
          <w:p w:rsidR="00655E47" w:rsidRPr="00D0027E" w:rsidRDefault="00655E47" w:rsidP="00714DD9">
            <w:pPr>
              <w:widowControl w:val="0"/>
              <w:tabs>
                <w:tab w:val="left" w:pos="993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пожарной охраны в Российской Федерации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90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</w:tcPr>
          <w:p w:rsidR="00655E47" w:rsidRPr="00D0027E" w:rsidRDefault="00655E47" w:rsidP="00714DD9">
            <w:pPr>
              <w:widowControl w:val="0"/>
              <w:tabs>
                <w:tab w:val="left" w:pos="993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условия прохождения службы в ГПС. Меры по противодействию коррупции в системе МЧС России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90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</w:tcPr>
          <w:p w:rsidR="00655E47" w:rsidRPr="00D0027E" w:rsidRDefault="00655E47" w:rsidP="00714DD9">
            <w:pPr>
              <w:widowControl w:val="0"/>
              <w:tabs>
                <w:tab w:val="left" w:pos="993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подготовка личного состава ГПС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90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</w:tcPr>
          <w:p w:rsidR="00655E47" w:rsidRPr="00D0027E" w:rsidRDefault="00655E47" w:rsidP="00714DD9">
            <w:pPr>
              <w:widowControl w:val="0"/>
              <w:tabs>
                <w:tab w:val="left" w:pos="993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несение гарнизонной службы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90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</w:tcPr>
          <w:p w:rsidR="00655E47" w:rsidRPr="00D0027E" w:rsidRDefault="00655E47" w:rsidP="00714DD9">
            <w:pPr>
              <w:widowControl w:val="0"/>
              <w:tabs>
                <w:tab w:val="left" w:pos="993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несение караульной службы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426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дисциплине 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E47" w:rsidRPr="00D0027E" w:rsidTr="00714DD9">
        <w:trPr>
          <w:trHeight w:val="181"/>
        </w:trPr>
        <w:tc>
          <w:tcPr>
            <w:tcW w:w="2426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292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3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55E47" w:rsidRPr="00D0027E" w:rsidRDefault="00655E47" w:rsidP="00655E47">
      <w:pPr>
        <w:pStyle w:val="a3"/>
        <w:widowControl w:val="0"/>
        <w:jc w:val="center"/>
        <w:rPr>
          <w:b/>
          <w:sz w:val="28"/>
          <w:szCs w:val="28"/>
        </w:rPr>
      </w:pPr>
    </w:p>
    <w:p w:rsidR="00655E47" w:rsidRPr="00D0027E" w:rsidRDefault="00655E47" w:rsidP="00655E4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/>
          <w:snapToGrid w:val="0"/>
          <w:sz w:val="28"/>
          <w:szCs w:val="28"/>
        </w:rPr>
        <w:t>ДИСЦИПЛИНА «ПЕРВАЯ ПОМОЩЬ»</w:t>
      </w:r>
    </w:p>
    <w:p w:rsidR="00655E47" w:rsidRPr="00D0027E" w:rsidRDefault="00655E47" w:rsidP="00655E4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55E47" w:rsidRPr="00D0027E" w:rsidRDefault="00655E47" w:rsidP="00655E4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/>
          <w:snapToGrid w:val="0"/>
          <w:sz w:val="28"/>
          <w:szCs w:val="28"/>
        </w:rPr>
        <w:t>1. Цели и задачи освоения дисциплины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 «Первая помощь» является повышение уровня профессиональной подготовки водителей подразделений ГПС МЧС России путем приобретения основ оказания первой помощи, обеспечивающих выбор оптимальных средств и методов защиты личного состава и спасения пострадавших.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данных целей предусматривается решение следующих основных задач: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изучение анатомо-физиологических особенностей строения тела человека;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027E">
        <w:rPr>
          <w:rFonts w:ascii="Times New Roman" w:hAnsi="Times New Roman" w:cs="Times New Roman"/>
          <w:spacing w:val="-4"/>
          <w:sz w:val="28"/>
          <w:szCs w:val="28"/>
        </w:rPr>
        <w:lastRenderedPageBreak/>
        <w:t>- изучение особенностей основных травматических, термических и химических поражений;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lang w:eastAsia="en-US"/>
        </w:rPr>
        <w:t>- приобретение практических умений по</w:t>
      </w:r>
      <w:r w:rsidRPr="00D0027E">
        <w:rPr>
          <w:rFonts w:ascii="Times New Roman" w:hAnsi="Times New Roman" w:cs="Times New Roman"/>
          <w:sz w:val="28"/>
          <w:szCs w:val="28"/>
        </w:rPr>
        <w:t xml:space="preserve"> оказанию первой помощи при </w:t>
      </w:r>
      <w:r w:rsidRPr="00D0027E">
        <w:rPr>
          <w:rFonts w:ascii="Times New Roman" w:hAnsi="Times New Roman" w:cs="Times New Roman"/>
          <w:spacing w:val="-4"/>
          <w:sz w:val="28"/>
          <w:szCs w:val="28"/>
        </w:rPr>
        <w:t>основных травматических, термических и химических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поражениях (наложение повязок, остановка кровотечения, перемещение пострадавших, транспортная иммобилизация и т.д.);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приобретение практических умений по применению простейших мероприятий по оживлению (различные виды искусственного дыхания, закрытый массаж сердца).</w:t>
      </w:r>
    </w:p>
    <w:p w:rsidR="00655E47" w:rsidRPr="00D0027E" w:rsidRDefault="00655E47" w:rsidP="00655E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2. Перечень планируемых результатов обучения по дисциплине</w:t>
      </w:r>
    </w:p>
    <w:p w:rsidR="00655E47" w:rsidRPr="00D0027E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 (ОК-1);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иметь навыки оказания первой помощи (ПК-6);</w:t>
      </w:r>
    </w:p>
    <w:p w:rsidR="00655E47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</w:p>
    <w:p w:rsidR="00655E47" w:rsidRDefault="00655E47" w:rsidP="00655E47">
      <w:pPr>
        <w:pStyle w:val="a3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027E">
        <w:rPr>
          <w:b/>
          <w:sz w:val="28"/>
          <w:szCs w:val="28"/>
        </w:rPr>
        <w:t>Содержание дисциплины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392"/>
        <w:gridCol w:w="533"/>
        <w:gridCol w:w="535"/>
        <w:gridCol w:w="758"/>
        <w:gridCol w:w="649"/>
        <w:gridCol w:w="915"/>
        <w:gridCol w:w="918"/>
      </w:tblGrid>
      <w:tr w:rsidR="00655E47" w:rsidRPr="00D0027E" w:rsidTr="00714DD9">
        <w:trPr>
          <w:cantSplit/>
          <w:trHeight w:val="329"/>
        </w:trPr>
        <w:tc>
          <w:tcPr>
            <w:tcW w:w="349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8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pct"/>
            <w:gridSpan w:val="6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Трудоёмкость освоения раздела, темы программы</w:t>
            </w:r>
          </w:p>
        </w:tc>
      </w:tr>
      <w:tr w:rsidR="00655E47" w:rsidRPr="00D0027E" w:rsidTr="00714DD9">
        <w:trPr>
          <w:cantSplit/>
          <w:trHeight w:val="195"/>
        </w:trPr>
        <w:tc>
          <w:tcPr>
            <w:tcW w:w="349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018" w:type="pct"/>
            <w:gridSpan w:val="5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часов</w:t>
            </w:r>
          </w:p>
        </w:tc>
      </w:tr>
      <w:tr w:rsidR="00655E47" w:rsidRPr="00D0027E" w:rsidTr="00714DD9">
        <w:trPr>
          <w:cantSplit/>
          <w:trHeight w:val="2503"/>
        </w:trPr>
        <w:tc>
          <w:tcPr>
            <w:tcW w:w="349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347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89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491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55E47" w:rsidRPr="00D0027E" w:rsidTr="00714DD9">
        <w:trPr>
          <w:trHeight w:val="181"/>
        </w:trPr>
        <w:tc>
          <w:tcPr>
            <w:tcW w:w="349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Правовые основы оказания первой помощи. Основы анатомии и физиологии человека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349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помощи пострадавшим в дорожно-транспортных происшествиях 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349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реанимация. Первая помощь при ранениях и кровотечениях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349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опорно-двигательной системы, головы, груди, живота</w:t>
            </w:r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349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термических, химических ожогах, отморожении, переохлаждении. Первая помощь при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политравме</w:t>
            </w:r>
            <w:proofErr w:type="spellEnd"/>
          </w:p>
        </w:tc>
        <w:tc>
          <w:tcPr>
            <w:tcW w:w="285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97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дисциплине </w:t>
            </w:r>
          </w:p>
        </w:tc>
        <w:tc>
          <w:tcPr>
            <w:tcW w:w="285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E47" w:rsidRPr="00D0027E" w:rsidTr="00714DD9">
        <w:trPr>
          <w:trHeight w:val="181"/>
        </w:trPr>
        <w:tc>
          <w:tcPr>
            <w:tcW w:w="2697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285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6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5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9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55E47" w:rsidRDefault="00655E47"/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lastRenderedPageBreak/>
        <w:t>ДИСЦИПЛИНА «ПСИХОЛОГИЧЕСКАЯ ПОДГОТОВКА»</w:t>
      </w:r>
    </w:p>
    <w:p w:rsidR="00655E47" w:rsidRPr="00D0027E" w:rsidRDefault="00655E47" w:rsidP="00655E4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E47" w:rsidRPr="00D0027E" w:rsidRDefault="00655E47" w:rsidP="00655E4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/>
          <w:snapToGrid w:val="0"/>
          <w:sz w:val="28"/>
          <w:szCs w:val="28"/>
        </w:rPr>
        <w:t>1. Цели и задачи освоения дисциплины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 «Психологическая подготовка» является формирование у обучающихся  соответствующей современным требованиям и нормам степени профессиональной подготовленности, необходимых компетенций, а также знаний, умений и навыков в области психологической подготовки  к решению профессиональных задач, стоящих перед водителями в повседневной профессиональной деятельности и в условиях чрезвычайной ситуации.</w:t>
      </w:r>
      <w:proofErr w:type="gramEnd"/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приобретение знаний по вопросам сохранения профессионального здоровья и профилактики негативных последствий хронического стресса;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приобретение знаний по оказанию психологической поддержки пострадавших в ЧС, ДТП; 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приобретение практических умений по применению приемов профилактики негативных последствий профессионального стресса; 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получение навыков использования приемов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55E47" w:rsidRPr="00D0027E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2. Перечень планируемых результатов обучения по дисциплине</w:t>
      </w: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 (ОК-1);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иметь навыки оказания первой помощи (ПК-6).</w:t>
      </w:r>
    </w:p>
    <w:p w:rsidR="00655E47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3. Содержание дисциплины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397"/>
        <w:gridCol w:w="530"/>
        <w:gridCol w:w="532"/>
        <w:gridCol w:w="881"/>
        <w:gridCol w:w="905"/>
        <w:gridCol w:w="907"/>
        <w:gridCol w:w="917"/>
      </w:tblGrid>
      <w:tr w:rsidR="00655E47" w:rsidRPr="00D0027E" w:rsidTr="00714DD9">
        <w:trPr>
          <w:cantSplit/>
          <w:trHeight w:val="329"/>
        </w:trPr>
        <w:tc>
          <w:tcPr>
            <w:tcW w:w="262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Трудоёмкость освоения раздела, темы программы</w:t>
            </w:r>
          </w:p>
        </w:tc>
      </w:tr>
      <w:tr w:rsidR="00655E47" w:rsidRPr="00D0027E" w:rsidTr="00714DD9">
        <w:trPr>
          <w:cantSplit/>
          <w:trHeight w:val="195"/>
        </w:trPr>
        <w:tc>
          <w:tcPr>
            <w:tcW w:w="262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164" w:type="pct"/>
            <w:gridSpan w:val="5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часов</w:t>
            </w:r>
          </w:p>
        </w:tc>
      </w:tr>
      <w:tr w:rsidR="00655E47" w:rsidRPr="00D0027E" w:rsidTr="00714DD9">
        <w:trPr>
          <w:cantSplit/>
          <w:trHeight w:val="2503"/>
        </w:trPr>
        <w:tc>
          <w:tcPr>
            <w:tcW w:w="262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47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74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479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здоровье и профессиональная надежность водителя.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Хронический стресс.</w:t>
            </w:r>
            <w:r w:rsidRPr="00D0027E">
              <w:t xml:space="preserve">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Стратегии противодействия хроническому стрессу.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приемы психологической </w:t>
            </w:r>
            <w:proofErr w:type="spellStart"/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принципы общения с пострадавшими в ЧС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559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дисциплине </w:t>
            </w:r>
          </w:p>
        </w:tc>
        <w:tc>
          <w:tcPr>
            <w:tcW w:w="277" w:type="pct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E47" w:rsidRPr="00D0027E" w:rsidTr="00714DD9">
        <w:trPr>
          <w:trHeight w:val="108"/>
        </w:trPr>
        <w:tc>
          <w:tcPr>
            <w:tcW w:w="2559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55E47" w:rsidRDefault="00655E47"/>
    <w:p w:rsidR="00655E47" w:rsidRDefault="00655E47"/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>ДИСЦИПЛИНА «ПСИХОЛОГИЧЕСКАЯ ПОДГОТОВКА»</w:t>
      </w:r>
    </w:p>
    <w:p w:rsidR="00655E47" w:rsidRPr="00D0027E" w:rsidRDefault="00655E47" w:rsidP="00655E4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E47" w:rsidRPr="00D0027E" w:rsidRDefault="00655E47" w:rsidP="00655E4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/>
          <w:snapToGrid w:val="0"/>
          <w:sz w:val="28"/>
          <w:szCs w:val="28"/>
        </w:rPr>
        <w:t>1. Цели и задачи освоения дисциплины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 «Психологическая подготовка» является формирование у обучающихся  соответствующей современным требованиям и нормам степени профессиональной подготовленности, необходимых компетенций, а также знаний, умений и навыков в области психологической подготовки  к решению профессиональных задач, стоящих перед водителями в повседневной профессиональной деятельности и в условиях чрезвычайной ситуации.</w:t>
      </w:r>
      <w:proofErr w:type="gramEnd"/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приобретение знаний по вопросам сохранения профессионального здоровья и профилактики негативных последствий хронического стресса;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приобретение знаний по оказанию психологической поддержки пострадавших в ЧС, ДТП; 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приобретение практических умений по применению приемов профилактики негативных последствий профессионального стресса; </w:t>
      </w:r>
    </w:p>
    <w:p w:rsidR="00655E47" w:rsidRPr="00D0027E" w:rsidRDefault="00655E47" w:rsidP="00655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получение навыков использования приемов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55E47" w:rsidRPr="00D0027E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36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2. Перечень планируемых результатов обучения по дисциплине</w:t>
      </w: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 (ОК-1);</w:t>
      </w:r>
    </w:p>
    <w:p w:rsidR="00655E47" w:rsidRPr="00D0027E" w:rsidRDefault="00655E47" w:rsidP="00655E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иметь навыки оказания первой помощи (ПК-6).</w:t>
      </w:r>
    </w:p>
    <w:p w:rsidR="00655E47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Pr="00D0027E" w:rsidRDefault="00655E47" w:rsidP="00655E47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D0027E">
        <w:rPr>
          <w:b/>
          <w:sz w:val="28"/>
          <w:szCs w:val="28"/>
        </w:rPr>
        <w:t>3. Содержание дисциплины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397"/>
        <w:gridCol w:w="530"/>
        <w:gridCol w:w="532"/>
        <w:gridCol w:w="881"/>
        <w:gridCol w:w="905"/>
        <w:gridCol w:w="907"/>
        <w:gridCol w:w="917"/>
      </w:tblGrid>
      <w:tr w:rsidR="00655E47" w:rsidRPr="00D0027E" w:rsidTr="00714DD9">
        <w:trPr>
          <w:cantSplit/>
          <w:trHeight w:val="329"/>
        </w:trPr>
        <w:tc>
          <w:tcPr>
            <w:tcW w:w="262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pct"/>
            <w:vMerge w:val="restar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Трудоёмкость освоения раздела, темы программы</w:t>
            </w:r>
          </w:p>
        </w:tc>
      </w:tr>
      <w:tr w:rsidR="00655E47" w:rsidRPr="00D0027E" w:rsidTr="00714DD9">
        <w:trPr>
          <w:cantSplit/>
          <w:trHeight w:val="195"/>
        </w:trPr>
        <w:tc>
          <w:tcPr>
            <w:tcW w:w="262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164" w:type="pct"/>
            <w:gridSpan w:val="5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 часов</w:t>
            </w:r>
          </w:p>
        </w:tc>
      </w:tr>
      <w:tr w:rsidR="00655E47" w:rsidRPr="00D0027E" w:rsidTr="00714DD9">
        <w:trPr>
          <w:cantSplit/>
          <w:trHeight w:val="2503"/>
        </w:trPr>
        <w:tc>
          <w:tcPr>
            <w:tcW w:w="262" w:type="pct"/>
            <w:vMerge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655E47" w:rsidRPr="00D0027E" w:rsidRDefault="00655E47" w:rsidP="00714DD9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473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74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479" w:type="pct"/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здоровье и профессиональная надежность водителя.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Хронический стресс.</w:t>
            </w:r>
            <w:r w:rsidRPr="00D0027E">
              <w:t xml:space="preserve">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Стратегии противодействия хроническому стрессу.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приемы психологической </w:t>
            </w:r>
            <w:proofErr w:type="spellStart"/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62" w:type="pct"/>
            <w:vAlign w:val="center"/>
          </w:tcPr>
          <w:p w:rsidR="00655E47" w:rsidRPr="00D0027E" w:rsidRDefault="00655E47" w:rsidP="00655E47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pct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принципы общения с пострадавшими в ЧС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rPr>
          <w:trHeight w:val="181"/>
        </w:trPr>
        <w:tc>
          <w:tcPr>
            <w:tcW w:w="2559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дисциплине </w:t>
            </w:r>
          </w:p>
        </w:tc>
        <w:tc>
          <w:tcPr>
            <w:tcW w:w="277" w:type="pct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E47" w:rsidRPr="00D0027E" w:rsidTr="00714DD9">
        <w:trPr>
          <w:trHeight w:val="108"/>
        </w:trPr>
        <w:tc>
          <w:tcPr>
            <w:tcW w:w="2559" w:type="pct"/>
            <w:gridSpan w:val="2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277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3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655E47" w:rsidRPr="00D0027E" w:rsidRDefault="00655E47" w:rsidP="00714DD9">
            <w:pPr>
              <w:pStyle w:val="a7"/>
              <w:widowControl w:val="0"/>
              <w:tabs>
                <w:tab w:val="left" w:pos="993"/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55E47" w:rsidRDefault="00655E47"/>
    <w:p w:rsidR="00655E47" w:rsidRDefault="00655E47"/>
    <w:p w:rsidR="00655E47" w:rsidRPr="00655E47" w:rsidRDefault="00655E47" w:rsidP="00655E47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55E4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Учебная практика</w:t>
      </w:r>
    </w:p>
    <w:p w:rsidR="00655E47" w:rsidRPr="00D0027E" w:rsidRDefault="00655E47" w:rsidP="00655E4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В процессе прохождения учебной практики, слушатели выполняют мероприятия, указанные в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план-задании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27E">
        <w:rPr>
          <w:rFonts w:ascii="Times New Roman" w:hAnsi="Times New Roman" w:cs="Times New Roman"/>
          <w:sz w:val="28"/>
          <w:szCs w:val="28"/>
        </w:rPr>
        <w:t xml:space="preserve">риложение № 1) которое составляют в течение первых суток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заступления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 xml:space="preserve"> на дежурство.</w:t>
      </w:r>
    </w:p>
    <w:p w:rsidR="00655E47" w:rsidRPr="00D0027E" w:rsidRDefault="00655E47" w:rsidP="00655E4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По окончании дежурства, ежедневно, закрепленный </w:t>
      </w: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проверяет выполнение запланированных мероприятий и выставляет оценку по пятибалльной шкале.</w:t>
      </w:r>
    </w:p>
    <w:p w:rsidR="00655E47" w:rsidRPr="00D0027E" w:rsidRDefault="00655E47" w:rsidP="00655E4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В течение последних суток, начальник караула с руководителем учебной практики составляют и утверждают отзыв по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D0027E">
        <w:rPr>
          <w:rFonts w:ascii="Times New Roman" w:hAnsi="Times New Roman" w:cs="Times New Roman"/>
          <w:sz w:val="28"/>
          <w:szCs w:val="28"/>
        </w:rPr>
        <w:t xml:space="preserve"> итогам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27E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655E47" w:rsidRPr="00D0027E" w:rsidRDefault="00655E47" w:rsidP="00655E4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ind w:firstLine="680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655E47" w:rsidRPr="00D0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AA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B03E7"/>
    <w:multiLevelType w:val="hybridMultilevel"/>
    <w:tmpl w:val="AED2485E"/>
    <w:lvl w:ilvl="0" w:tplc="A036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89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F1B96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1E6E1C"/>
    <w:multiLevelType w:val="multilevel"/>
    <w:tmpl w:val="98D6E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i w:val="0"/>
      </w:rPr>
    </w:lvl>
  </w:abstractNum>
  <w:abstractNum w:abstractNumId="5">
    <w:nsid w:val="20396FDC"/>
    <w:multiLevelType w:val="multilevel"/>
    <w:tmpl w:val="34809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994DA9"/>
    <w:multiLevelType w:val="hybridMultilevel"/>
    <w:tmpl w:val="3378F36E"/>
    <w:lvl w:ilvl="0" w:tplc="2D604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921FBB"/>
    <w:multiLevelType w:val="hybridMultilevel"/>
    <w:tmpl w:val="028E7220"/>
    <w:lvl w:ilvl="0" w:tplc="A036C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E7DED"/>
    <w:multiLevelType w:val="multilevel"/>
    <w:tmpl w:val="698C881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bullet"/>
      <w:lvlText w:val="‒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abstractNum w:abstractNumId="9">
    <w:nsid w:val="3699425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44AA5"/>
    <w:multiLevelType w:val="hybridMultilevel"/>
    <w:tmpl w:val="E620E9A0"/>
    <w:lvl w:ilvl="0" w:tplc="8D986DE6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543C1"/>
    <w:multiLevelType w:val="hybridMultilevel"/>
    <w:tmpl w:val="B41E7BE8"/>
    <w:lvl w:ilvl="0" w:tplc="15A496B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937A88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193768"/>
    <w:multiLevelType w:val="hybridMultilevel"/>
    <w:tmpl w:val="F2182014"/>
    <w:lvl w:ilvl="0" w:tplc="2FB0F7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C50DB"/>
    <w:multiLevelType w:val="hybridMultilevel"/>
    <w:tmpl w:val="3B907D3C"/>
    <w:lvl w:ilvl="0" w:tplc="876A7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C3916"/>
    <w:multiLevelType w:val="multilevel"/>
    <w:tmpl w:val="83829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4"/>
    <w:rsid w:val="000C7108"/>
    <w:rsid w:val="004153EF"/>
    <w:rsid w:val="00435339"/>
    <w:rsid w:val="00655E47"/>
    <w:rsid w:val="00696B85"/>
    <w:rsid w:val="00942BB6"/>
    <w:rsid w:val="00C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2078</Words>
  <Characters>11847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2023-10-30T09:56:00Z</dcterms:created>
  <dcterms:modified xsi:type="dcterms:W3CDTF">2023-11-28T05:49:00Z</dcterms:modified>
</cp:coreProperties>
</file>